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E42" w:rsidRDefault="00414E42" w:rsidP="00414E42">
      <w:pPr>
        <w:rPr>
          <w:rFonts w:ascii="Calibri" w:hAnsi="Calibri"/>
          <w:sz w:val="22"/>
          <w:szCs w:val="22"/>
        </w:rPr>
      </w:pPr>
    </w:p>
    <w:p w:rsidR="00414E42" w:rsidRPr="00414E42" w:rsidRDefault="00414E42" w:rsidP="00414E42">
      <w:pPr>
        <w:rPr>
          <w:rFonts w:ascii="Calibri" w:hAnsi="Calibri"/>
          <w:sz w:val="22"/>
          <w:szCs w:val="22"/>
        </w:rPr>
      </w:pPr>
    </w:p>
    <w:p w:rsidR="003064C8" w:rsidRPr="00D269C0" w:rsidRDefault="00D269C0" w:rsidP="00D269C0">
      <w:pPr>
        <w:pStyle w:val="Default"/>
        <w:jc w:val="center"/>
        <w:rPr>
          <w:b/>
          <w:color w:val="auto"/>
          <w:sz w:val="28"/>
          <w:szCs w:val="28"/>
        </w:rPr>
      </w:pPr>
      <w:r w:rsidRPr="00D269C0">
        <w:rPr>
          <w:rFonts w:asciiTheme="minorHAnsi" w:hAnsiTheme="minorHAnsi"/>
          <w:b/>
          <w:color w:val="auto"/>
          <w:sz w:val="28"/>
          <w:szCs w:val="28"/>
        </w:rPr>
        <w:t>Assessor Training Programme</w:t>
      </w:r>
    </w:p>
    <w:p w:rsidR="00562D44" w:rsidRDefault="00562D44" w:rsidP="00562D44">
      <w:pPr>
        <w:rPr>
          <w:rFonts w:ascii="Calibri" w:hAnsi="Calibri"/>
          <w:sz w:val="22"/>
          <w:szCs w:val="22"/>
        </w:rPr>
      </w:pPr>
    </w:p>
    <w:p w:rsidR="00D269C0" w:rsidRPr="00877394" w:rsidRDefault="00D269C0" w:rsidP="00877394">
      <w:pPr>
        <w:pStyle w:val="ListParagraph"/>
        <w:numPr>
          <w:ilvl w:val="0"/>
          <w:numId w:val="13"/>
        </w:numPr>
        <w:spacing w:after="200" w:line="276" w:lineRule="auto"/>
        <w:contextualSpacing w:val="0"/>
        <w:jc w:val="both"/>
        <w:rPr>
          <w:rFonts w:cs="Tahoma"/>
        </w:rPr>
      </w:pPr>
      <w:r w:rsidRPr="007F32A3">
        <w:rPr>
          <w:rFonts w:cs="Tahoma"/>
          <w:sz w:val="24"/>
          <w:szCs w:val="24"/>
        </w:rPr>
        <w:t xml:space="preserve">The </w:t>
      </w:r>
      <w:proofErr w:type="spellStart"/>
      <w:r w:rsidRPr="007F32A3">
        <w:rPr>
          <w:rFonts w:cs="Tahoma"/>
          <w:sz w:val="24"/>
          <w:szCs w:val="24"/>
        </w:rPr>
        <w:t>Fibre</w:t>
      </w:r>
      <w:proofErr w:type="spellEnd"/>
      <w:r w:rsidRPr="007F32A3">
        <w:rPr>
          <w:rFonts w:cs="Tahoma"/>
          <w:sz w:val="24"/>
          <w:szCs w:val="24"/>
        </w:rPr>
        <w:t xml:space="preserve"> Processing and Manufacturing (FP&amp;M) SETA </w:t>
      </w:r>
      <w:r>
        <w:rPr>
          <w:rFonts w:cs="Tahoma"/>
          <w:sz w:val="24"/>
          <w:szCs w:val="24"/>
        </w:rPr>
        <w:t>extends</w:t>
      </w:r>
      <w:r w:rsidRPr="007F32A3">
        <w:rPr>
          <w:rFonts w:cs="Tahoma"/>
          <w:sz w:val="24"/>
          <w:szCs w:val="24"/>
        </w:rPr>
        <w:t xml:space="preserve"> an invitation to:</w:t>
      </w:r>
      <w:r w:rsidRPr="0052396A">
        <w:rPr>
          <w:rFonts w:cs="Tahoma"/>
        </w:rPr>
        <w:t xml:space="preserve"> </w:t>
      </w:r>
      <w:r>
        <w:rPr>
          <w:rFonts w:cs="Tahoma"/>
        </w:rPr>
        <w:t>FP&amp;M sector</w:t>
      </w:r>
      <w:r w:rsidRPr="007F32A3">
        <w:rPr>
          <w:rFonts w:cs="Tahoma"/>
        </w:rPr>
        <w:t xml:space="preserve"> skills development levy paying firms</w:t>
      </w:r>
      <w:r w:rsidR="00180753">
        <w:rPr>
          <w:rFonts w:cs="Tahoma"/>
        </w:rPr>
        <w:t>, TVET Colleges</w:t>
      </w:r>
      <w:r w:rsidRPr="007F32A3">
        <w:rPr>
          <w:rFonts w:cs="Tahoma"/>
        </w:rPr>
        <w:t xml:space="preserve"> </w:t>
      </w:r>
      <w:r>
        <w:rPr>
          <w:rFonts w:cs="Tahoma"/>
        </w:rPr>
        <w:t>and a</w:t>
      </w:r>
      <w:r w:rsidRPr="007F32A3">
        <w:rPr>
          <w:rFonts w:cs="Tahoma"/>
        </w:rPr>
        <w:t>ccredited skills development providers to nominate education, training and development</w:t>
      </w:r>
      <w:r>
        <w:rPr>
          <w:rFonts w:cs="Tahoma"/>
        </w:rPr>
        <w:t xml:space="preserve"> practitioners </w:t>
      </w:r>
      <w:r w:rsidRPr="007F32A3">
        <w:rPr>
          <w:rFonts w:cs="Tahoma"/>
        </w:rPr>
        <w:t>(ETDP)</w:t>
      </w:r>
      <w:r>
        <w:rPr>
          <w:rFonts w:cs="Tahoma"/>
        </w:rPr>
        <w:t xml:space="preserve"> to attend an</w:t>
      </w:r>
      <w:r w:rsidRPr="007F32A3">
        <w:rPr>
          <w:rFonts w:cs="Tahoma"/>
        </w:rPr>
        <w:t xml:space="preserve"> ETDP </w:t>
      </w:r>
      <w:r>
        <w:rPr>
          <w:rFonts w:cs="Tahoma"/>
        </w:rPr>
        <w:t xml:space="preserve">Assessor Training </w:t>
      </w:r>
      <w:proofErr w:type="spellStart"/>
      <w:r w:rsidRPr="007F32A3">
        <w:rPr>
          <w:rFonts w:cs="Tahoma"/>
        </w:rPr>
        <w:t>programme</w:t>
      </w:r>
      <w:proofErr w:type="spellEnd"/>
      <w:r>
        <w:rPr>
          <w:rFonts w:cs="Tahoma"/>
        </w:rPr>
        <w:t xml:space="preserve">. The </w:t>
      </w:r>
      <w:proofErr w:type="spellStart"/>
      <w:r>
        <w:rPr>
          <w:rFonts w:cs="Tahoma"/>
        </w:rPr>
        <w:t>programme</w:t>
      </w:r>
      <w:proofErr w:type="spellEnd"/>
      <w:r>
        <w:rPr>
          <w:rFonts w:cs="Tahoma"/>
        </w:rPr>
        <w:t xml:space="preserve"> will </w:t>
      </w:r>
      <w:r w:rsidRPr="007164D5">
        <w:rPr>
          <w:rFonts w:cs="Tahoma"/>
        </w:rPr>
        <w:t xml:space="preserve">be conducted </w:t>
      </w:r>
      <w:r>
        <w:rPr>
          <w:rFonts w:cs="Tahoma"/>
        </w:rPr>
        <w:t>between</w:t>
      </w:r>
      <w:r w:rsidRPr="007164D5">
        <w:rPr>
          <w:rFonts w:cs="Tahoma"/>
        </w:rPr>
        <w:t xml:space="preserve"> July and August 2015 in</w:t>
      </w:r>
      <w:r w:rsidR="001336DB">
        <w:rPr>
          <w:rFonts w:cs="Tahoma"/>
        </w:rPr>
        <w:t xml:space="preserve"> the </w:t>
      </w:r>
      <w:r w:rsidR="001336DB" w:rsidRPr="007164D5">
        <w:rPr>
          <w:rFonts w:cs="Tahoma"/>
        </w:rPr>
        <w:t>following</w:t>
      </w:r>
      <w:r w:rsidRPr="007164D5">
        <w:rPr>
          <w:rFonts w:cs="Tahoma"/>
        </w:rPr>
        <w:t xml:space="preserve"> provinces: Western Cape, Mpumalanga, Limpopo, Free State, Kwa-Zulu Natal and Gauteng</w:t>
      </w:r>
      <w:r>
        <w:rPr>
          <w:rFonts w:cs="Tahoma"/>
        </w:rPr>
        <w:t>.</w:t>
      </w:r>
      <w:r w:rsidRPr="007164D5">
        <w:rPr>
          <w:rFonts w:cs="Tahoma"/>
        </w:rPr>
        <w:t xml:space="preserve"> </w:t>
      </w:r>
    </w:p>
    <w:p w:rsidR="00D269C0" w:rsidRPr="007164D5" w:rsidRDefault="00D269C0" w:rsidP="00D269C0">
      <w:pPr>
        <w:pStyle w:val="ListParagraph"/>
        <w:numPr>
          <w:ilvl w:val="0"/>
          <w:numId w:val="13"/>
        </w:numPr>
        <w:spacing w:after="200" w:line="276" w:lineRule="auto"/>
        <w:contextualSpacing w:val="0"/>
        <w:jc w:val="both"/>
        <w:rPr>
          <w:rFonts w:cs="Tahoma"/>
          <w:sz w:val="24"/>
          <w:szCs w:val="24"/>
        </w:rPr>
      </w:pPr>
      <w:r w:rsidRPr="00F10623">
        <w:rPr>
          <w:rFonts w:cs="Tahoma"/>
          <w:sz w:val="24"/>
          <w:szCs w:val="24"/>
        </w:rPr>
        <w:t xml:space="preserve">Companies will not be allocated more than two </w:t>
      </w:r>
      <w:r>
        <w:rPr>
          <w:rFonts w:cs="Tahoma"/>
          <w:sz w:val="24"/>
          <w:szCs w:val="24"/>
        </w:rPr>
        <w:t>seats</w:t>
      </w:r>
      <w:r w:rsidRPr="00F10623">
        <w:rPr>
          <w:rFonts w:cs="Tahoma"/>
          <w:sz w:val="24"/>
          <w:szCs w:val="24"/>
        </w:rPr>
        <w:t xml:space="preserve"> for</w:t>
      </w:r>
      <w:r>
        <w:rPr>
          <w:rFonts w:cs="Tahoma"/>
          <w:sz w:val="24"/>
          <w:szCs w:val="24"/>
        </w:rPr>
        <w:t xml:space="preserve"> the training due to</w:t>
      </w:r>
      <w:r w:rsidR="00180753">
        <w:rPr>
          <w:rFonts w:cs="Tahoma"/>
          <w:sz w:val="24"/>
          <w:szCs w:val="24"/>
        </w:rPr>
        <w:t xml:space="preserve"> the limited availability of seats</w:t>
      </w:r>
      <w:r w:rsidRPr="007164D5">
        <w:rPr>
          <w:rFonts w:cs="Tahoma"/>
          <w:sz w:val="24"/>
          <w:szCs w:val="24"/>
        </w:rPr>
        <w:t>.</w:t>
      </w:r>
    </w:p>
    <w:p w:rsidR="00D269C0" w:rsidRDefault="00D269C0" w:rsidP="00D269C0">
      <w:pPr>
        <w:pStyle w:val="ListParagraph"/>
        <w:numPr>
          <w:ilvl w:val="0"/>
          <w:numId w:val="13"/>
        </w:numPr>
        <w:spacing w:after="200" w:line="276" w:lineRule="auto"/>
        <w:contextualSpacing w:val="0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</w:t>
      </w:r>
      <w:r w:rsidR="001336DB">
        <w:rPr>
          <w:rFonts w:cs="Tahoma"/>
          <w:sz w:val="24"/>
          <w:szCs w:val="24"/>
        </w:rPr>
        <w:t xml:space="preserve">his </w:t>
      </w:r>
      <w:proofErr w:type="spellStart"/>
      <w:r w:rsidR="001336DB">
        <w:rPr>
          <w:rFonts w:cs="Tahoma"/>
          <w:sz w:val="24"/>
          <w:szCs w:val="24"/>
        </w:rPr>
        <w:t>programme</w:t>
      </w:r>
      <w:proofErr w:type="spellEnd"/>
      <w:r w:rsidR="001336DB">
        <w:rPr>
          <w:rFonts w:cs="Tahoma"/>
          <w:sz w:val="24"/>
          <w:szCs w:val="24"/>
        </w:rPr>
        <w:t xml:space="preserve"> </w:t>
      </w:r>
      <w:r w:rsidRPr="002F298B">
        <w:rPr>
          <w:rFonts w:cs="Tahoma"/>
          <w:sz w:val="24"/>
          <w:szCs w:val="24"/>
        </w:rPr>
        <w:t xml:space="preserve">offered </w:t>
      </w:r>
      <w:r w:rsidR="001336DB">
        <w:rPr>
          <w:rFonts w:cs="Tahoma"/>
          <w:b/>
          <w:sz w:val="24"/>
          <w:szCs w:val="24"/>
        </w:rPr>
        <w:t>is</w:t>
      </w:r>
      <w:r w:rsidR="00180753">
        <w:rPr>
          <w:rFonts w:cs="Tahoma"/>
          <w:b/>
          <w:sz w:val="24"/>
          <w:szCs w:val="24"/>
        </w:rPr>
        <w:t xml:space="preserve"> funded by the FP&amp;M SETA</w:t>
      </w:r>
      <w:r w:rsidRPr="002F298B">
        <w:rPr>
          <w:rFonts w:cs="Tahoma"/>
          <w:sz w:val="24"/>
          <w:szCs w:val="24"/>
        </w:rPr>
        <w:t>.</w:t>
      </w:r>
      <w:r w:rsidR="00180753">
        <w:rPr>
          <w:rFonts w:cs="Tahoma"/>
          <w:sz w:val="24"/>
          <w:szCs w:val="24"/>
        </w:rPr>
        <w:t xml:space="preserve"> (Travel and parking costs is for the learner’s own cost)</w:t>
      </w:r>
    </w:p>
    <w:p w:rsidR="00D269C0" w:rsidRPr="007164D5" w:rsidRDefault="00D269C0" w:rsidP="00D269C0">
      <w:pPr>
        <w:pStyle w:val="ListParagraph"/>
        <w:numPr>
          <w:ilvl w:val="0"/>
          <w:numId w:val="13"/>
        </w:numPr>
        <w:spacing w:after="200" w:line="276" w:lineRule="auto"/>
        <w:contextualSpacing w:val="0"/>
        <w:jc w:val="both"/>
        <w:rPr>
          <w:rFonts w:cs="Tahoma"/>
          <w:sz w:val="24"/>
          <w:szCs w:val="24"/>
        </w:rPr>
      </w:pPr>
      <w:r w:rsidRPr="007164D5">
        <w:rPr>
          <w:rFonts w:cs="Tahoma"/>
          <w:sz w:val="24"/>
          <w:szCs w:val="24"/>
        </w:rPr>
        <w:t>Dates for this training w</w:t>
      </w:r>
      <w:r>
        <w:rPr>
          <w:rFonts w:cs="Tahoma"/>
          <w:sz w:val="24"/>
          <w:szCs w:val="24"/>
        </w:rPr>
        <w:t>ill be provided when</w:t>
      </w:r>
      <w:r w:rsidRPr="007164D5">
        <w:rPr>
          <w:rFonts w:cs="Tahoma"/>
          <w:sz w:val="24"/>
          <w:szCs w:val="24"/>
        </w:rPr>
        <w:t xml:space="preserve"> the booking logistics are complete</w:t>
      </w:r>
      <w:r>
        <w:rPr>
          <w:rFonts w:cs="Tahoma"/>
          <w:sz w:val="24"/>
          <w:szCs w:val="24"/>
        </w:rPr>
        <w:t>d</w:t>
      </w:r>
      <w:r w:rsidRPr="007164D5">
        <w:rPr>
          <w:rFonts w:cs="Tahoma"/>
          <w:sz w:val="24"/>
          <w:szCs w:val="24"/>
        </w:rPr>
        <w:t>.</w:t>
      </w:r>
    </w:p>
    <w:p w:rsidR="00D269C0" w:rsidRPr="00877394" w:rsidRDefault="00D269C0" w:rsidP="00877394">
      <w:pPr>
        <w:ind w:left="360"/>
        <w:jc w:val="both"/>
        <w:rPr>
          <w:rFonts w:cs="Tahoma"/>
        </w:rPr>
      </w:pPr>
    </w:p>
    <w:p w:rsidR="00877394" w:rsidRDefault="00D269C0" w:rsidP="00D269C0">
      <w:pPr>
        <w:jc w:val="both"/>
        <w:rPr>
          <w:rFonts w:asciiTheme="minorHAnsi" w:hAnsiTheme="minorHAnsi"/>
          <w:b/>
        </w:rPr>
      </w:pPr>
      <w:r w:rsidRPr="007F32A3">
        <w:rPr>
          <w:rFonts w:asciiTheme="minorHAnsi" w:hAnsiTheme="minorHAnsi"/>
          <w:b/>
        </w:rPr>
        <w:t>Application Process</w:t>
      </w:r>
    </w:p>
    <w:p w:rsidR="00D269C0" w:rsidRPr="007F32A3" w:rsidRDefault="00D269C0" w:rsidP="00D269C0">
      <w:pPr>
        <w:jc w:val="both"/>
        <w:rPr>
          <w:rFonts w:asciiTheme="minorHAnsi" w:hAnsiTheme="minorHAnsi"/>
          <w:b/>
        </w:rPr>
      </w:pPr>
      <w:r w:rsidRPr="007F32A3">
        <w:rPr>
          <w:rFonts w:asciiTheme="minorHAnsi" w:hAnsiTheme="minorHAnsi"/>
          <w:b/>
        </w:rPr>
        <w:t xml:space="preserve"> </w:t>
      </w:r>
    </w:p>
    <w:p w:rsidR="00D269C0" w:rsidRDefault="00D269C0" w:rsidP="00D269C0">
      <w:pPr>
        <w:jc w:val="both"/>
        <w:rPr>
          <w:rFonts w:asciiTheme="minorHAnsi" w:hAnsiTheme="minorHAnsi"/>
        </w:rPr>
      </w:pPr>
      <w:r w:rsidRPr="00F10623">
        <w:rPr>
          <w:rFonts w:asciiTheme="minorHAnsi" w:hAnsiTheme="minorHAnsi" w:cs="Tahoma"/>
        </w:rPr>
        <w:t xml:space="preserve">Submit the booking form below to the relevant regional specialists </w:t>
      </w:r>
      <w:r w:rsidR="000E3938">
        <w:rPr>
          <w:rFonts w:asciiTheme="minorHAnsi" w:hAnsiTheme="minorHAnsi"/>
          <w:b/>
        </w:rPr>
        <w:t>before Tuesday, 30</w:t>
      </w:r>
      <w:r w:rsidR="00DF054A" w:rsidRPr="00DF054A">
        <w:rPr>
          <w:rFonts w:asciiTheme="minorHAnsi" w:hAnsiTheme="minorHAnsi"/>
          <w:b/>
          <w:vertAlign w:val="superscript"/>
        </w:rPr>
        <w:t>th</w:t>
      </w:r>
      <w:r w:rsidR="00DF054A">
        <w:rPr>
          <w:rFonts w:asciiTheme="minorHAnsi" w:hAnsiTheme="minorHAnsi"/>
          <w:b/>
        </w:rPr>
        <w:t xml:space="preserve"> </w:t>
      </w:r>
      <w:r w:rsidRPr="007164D5">
        <w:rPr>
          <w:rFonts w:asciiTheme="minorHAnsi" w:hAnsiTheme="minorHAnsi"/>
          <w:b/>
        </w:rPr>
        <w:t>June 2015.</w:t>
      </w:r>
      <w:r w:rsidRPr="007F32A3">
        <w:rPr>
          <w:rFonts w:asciiTheme="minorHAnsi" w:hAnsiTheme="minorHAnsi"/>
        </w:rPr>
        <w:t xml:space="preserve"> </w:t>
      </w:r>
      <w:r w:rsidRPr="00F10623">
        <w:rPr>
          <w:rFonts w:asciiTheme="minorHAnsi" w:hAnsiTheme="minorHAnsi" w:cs="Tahoma"/>
        </w:rPr>
        <w:t>Please note that seats are limited.</w:t>
      </w:r>
    </w:p>
    <w:p w:rsidR="00D269C0" w:rsidRDefault="00D269C0" w:rsidP="00D269C0">
      <w:pPr>
        <w:jc w:val="both"/>
        <w:rPr>
          <w:rFonts w:asciiTheme="minorHAnsi" w:hAnsiTheme="minorHAnsi"/>
        </w:rPr>
      </w:pPr>
    </w:p>
    <w:p w:rsidR="00D269C0" w:rsidRDefault="00D269C0" w:rsidP="00D269C0">
      <w:pPr>
        <w:jc w:val="right"/>
        <w:rPr>
          <w:rFonts w:asciiTheme="minorHAnsi" w:hAnsiTheme="minorHAnsi"/>
          <w:b/>
        </w:rPr>
      </w:pPr>
      <w:r w:rsidRPr="009C7D44">
        <w:rPr>
          <w:rFonts w:asciiTheme="minorHAnsi" w:hAnsiTheme="minorHAnsi"/>
          <w:b/>
        </w:rPr>
        <w:t>Next page/ Booking Form</w:t>
      </w:r>
    </w:p>
    <w:p w:rsidR="00D269C0" w:rsidRPr="007F32A3" w:rsidRDefault="00D269C0" w:rsidP="00D269C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</w:rPr>
        <w:br w:type="page"/>
      </w:r>
      <w:r>
        <w:rPr>
          <w:rFonts w:asciiTheme="minorHAnsi" w:hAnsiTheme="minorHAnsi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 wp14:anchorId="7AE79B0D" wp14:editId="22343B7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3628" cy="682255"/>
            <wp:effectExtent l="0" t="0" r="190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&amp;M Logo Colou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628" cy="682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2A3">
        <w:rPr>
          <w:rFonts w:asciiTheme="minorHAnsi" w:hAnsiTheme="minorHAnsi"/>
          <w:b/>
          <w:sz w:val="28"/>
          <w:szCs w:val="28"/>
        </w:rPr>
        <w:t xml:space="preserve">FP&amp;M SETA ETDP </w:t>
      </w:r>
      <w:proofErr w:type="spellStart"/>
      <w:r w:rsidRPr="007F32A3">
        <w:rPr>
          <w:rFonts w:asciiTheme="minorHAnsi" w:hAnsiTheme="minorHAnsi"/>
          <w:b/>
          <w:sz w:val="28"/>
          <w:szCs w:val="28"/>
        </w:rPr>
        <w:t>Programme</w:t>
      </w:r>
      <w:proofErr w:type="spellEnd"/>
      <w:r w:rsidRPr="007F32A3">
        <w:rPr>
          <w:rFonts w:asciiTheme="minorHAnsi" w:hAnsiTheme="minorHAnsi"/>
          <w:b/>
          <w:sz w:val="28"/>
          <w:szCs w:val="28"/>
        </w:rPr>
        <w:t xml:space="preserve"> Booking Form</w:t>
      </w:r>
    </w:p>
    <w:p w:rsidR="00D269C0" w:rsidRPr="00134803" w:rsidRDefault="00D269C0" w:rsidP="00D269C0">
      <w:pPr>
        <w:jc w:val="both"/>
        <w:rPr>
          <w:rFonts w:asciiTheme="minorHAnsi" w:hAnsiTheme="minorHAnsi"/>
          <w:sz w:val="20"/>
          <w:szCs w:val="20"/>
        </w:rPr>
      </w:pPr>
      <w:r w:rsidRPr="007164D5">
        <w:rPr>
          <w:rFonts w:asciiTheme="minorHAnsi" w:hAnsiTheme="minorHAnsi"/>
          <w:b/>
          <w:sz w:val="20"/>
          <w:szCs w:val="20"/>
        </w:rPr>
        <w:t>Please complete a separate booking form for each delegate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23"/>
      </w:tblGrid>
      <w:tr w:rsidR="00D269C0" w:rsidRPr="00134803" w:rsidTr="00F43B03">
        <w:tc>
          <w:tcPr>
            <w:tcW w:w="10008" w:type="dxa"/>
            <w:gridSpan w:val="2"/>
            <w:shd w:val="clear" w:color="auto" w:fill="B3B3B3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b/>
                <w:sz w:val="20"/>
                <w:szCs w:val="20"/>
              </w:rPr>
              <w:t xml:space="preserve">Delegate details </w:t>
            </w:r>
          </w:p>
        </w:tc>
      </w:tr>
      <w:tr w:rsidR="00D269C0" w:rsidRPr="00134803" w:rsidTr="00F43B03">
        <w:trPr>
          <w:trHeight w:val="615"/>
        </w:trPr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Name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rPr>
          <w:trHeight w:val="279"/>
        </w:trPr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ID Number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rPr>
          <w:trHeight w:val="279"/>
        </w:trPr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Position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rPr>
          <w:trHeight w:val="279"/>
        </w:trPr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Mobile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rPr>
          <w:trHeight w:val="279"/>
        </w:trPr>
        <w:tc>
          <w:tcPr>
            <w:tcW w:w="3085" w:type="dxa"/>
            <w:tcBorders>
              <w:bottom w:val="single" w:sz="4" w:space="0" w:color="auto"/>
            </w:tcBorders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rPr>
          <w:trHeight w:val="279"/>
        </w:trPr>
        <w:tc>
          <w:tcPr>
            <w:tcW w:w="3085" w:type="dxa"/>
            <w:tcBorders>
              <w:bottom w:val="single" w:sz="4" w:space="0" w:color="auto"/>
            </w:tcBorders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Qualification/s</w:t>
            </w:r>
          </w:p>
        </w:tc>
        <w:tc>
          <w:tcPr>
            <w:tcW w:w="6923" w:type="dxa"/>
            <w:tcBorders>
              <w:bottom w:val="single" w:sz="4" w:space="0" w:color="auto"/>
            </w:tcBorders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9C0" w:rsidRDefault="00D269C0" w:rsidP="00D269C0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923"/>
      </w:tblGrid>
      <w:tr w:rsidR="00D269C0" w:rsidRPr="00134803" w:rsidTr="00F43B03">
        <w:tc>
          <w:tcPr>
            <w:tcW w:w="10008" w:type="dxa"/>
            <w:gridSpan w:val="2"/>
            <w:shd w:val="clear" w:color="auto" w:fill="B3B3B3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34803">
              <w:rPr>
                <w:rFonts w:asciiTheme="minorHAnsi" w:hAnsiTheme="minorHAnsi"/>
                <w:b/>
                <w:sz w:val="20"/>
                <w:szCs w:val="20"/>
              </w:rPr>
              <w:t>Company Details</w:t>
            </w: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Company name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Levy/Accreditation number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Physical address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City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Telephone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Approving Manager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Designation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Direct telephone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Email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269C0" w:rsidRPr="00134803" w:rsidTr="00F43B03">
        <w:tc>
          <w:tcPr>
            <w:tcW w:w="3085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sz w:val="20"/>
                <w:szCs w:val="20"/>
              </w:rPr>
              <w:t>Signature/Date</w:t>
            </w:r>
          </w:p>
        </w:tc>
        <w:tc>
          <w:tcPr>
            <w:tcW w:w="6923" w:type="dxa"/>
          </w:tcPr>
          <w:p w:rsidR="00D269C0" w:rsidRPr="00134803" w:rsidRDefault="00D269C0" w:rsidP="00F43B03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269C0" w:rsidRPr="00134803" w:rsidRDefault="00D269C0" w:rsidP="00D269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/>
      </w:r>
    </w:p>
    <w:p w:rsidR="00D269C0" w:rsidRDefault="00D269C0" w:rsidP="00D269C0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br w:type="page"/>
      </w:r>
    </w:p>
    <w:p w:rsidR="00D269C0" w:rsidRPr="00134803" w:rsidRDefault="00D269C0" w:rsidP="00D269C0">
      <w:pPr>
        <w:jc w:val="both"/>
        <w:rPr>
          <w:rFonts w:asciiTheme="minorHAnsi" w:hAnsiTheme="minorHAnsi"/>
          <w:sz w:val="20"/>
          <w:szCs w:val="20"/>
        </w:rPr>
      </w:pPr>
      <w:r w:rsidRPr="00CF0056">
        <w:rPr>
          <w:rFonts w:asciiTheme="minorHAnsi" w:hAnsiTheme="minorHAnsi"/>
          <w:b/>
          <w:sz w:val="20"/>
          <w:szCs w:val="20"/>
        </w:rPr>
        <w:lastRenderedPageBreak/>
        <w:t>Please send your applications to the Regional Specialists using the contacts listed</w:t>
      </w:r>
      <w:r w:rsidRPr="00134803">
        <w:rPr>
          <w:rFonts w:asciiTheme="minorHAnsi" w:hAnsiTheme="minorHAnsi"/>
          <w:sz w:val="20"/>
          <w:szCs w:val="20"/>
        </w:rPr>
        <w:t xml:space="preserve">: </w:t>
      </w:r>
    </w:p>
    <w:tbl>
      <w:tblPr>
        <w:tblW w:w="100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2"/>
        <w:gridCol w:w="3139"/>
        <w:gridCol w:w="3212"/>
      </w:tblGrid>
      <w:tr w:rsidR="00D269C0" w:rsidRPr="00134803" w:rsidTr="00F43B03">
        <w:trPr>
          <w:trHeight w:val="2596"/>
        </w:trPr>
        <w:tc>
          <w:tcPr>
            <w:tcW w:w="3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9C0" w:rsidRPr="00134803" w:rsidRDefault="00D269C0" w:rsidP="00F43B03">
            <w:pPr>
              <w:spacing w:line="360" w:lineRule="auto"/>
              <w:ind w:right="-108"/>
              <w:jc w:val="center"/>
              <w:rPr>
                <w:rFonts w:asciiTheme="minorHAnsi" w:hAnsiTheme="minorHAnsi"/>
                <w:color w:val="404040"/>
                <w:sz w:val="20"/>
                <w:szCs w:val="20"/>
              </w:rPr>
            </w:pPr>
            <w:r w:rsidRPr="00134803">
              <w:rPr>
                <w:rStyle w:val="Strong"/>
                <w:rFonts w:asciiTheme="minorHAnsi" w:hAnsiTheme="minorHAnsi"/>
                <w:color w:val="404040"/>
                <w:sz w:val="20"/>
                <w:szCs w:val="20"/>
              </w:rPr>
              <w:t>Gauteng, Limpopo, Mpumalanga and North West</w:t>
            </w:r>
          </w:p>
          <w:p w:rsidR="00D269C0" w:rsidRDefault="00D269C0" w:rsidP="00F43B03">
            <w:pPr>
              <w:pStyle w:val="ListParagraph"/>
              <w:spacing w:line="360" w:lineRule="auto"/>
              <w:ind w:left="360"/>
              <w:rPr>
                <w:color w:val="000000"/>
                <w:sz w:val="20"/>
                <w:szCs w:val="20"/>
              </w:rPr>
            </w:pPr>
            <w:r w:rsidRPr="00134803">
              <w:rPr>
                <w:color w:val="000000"/>
                <w:sz w:val="20"/>
                <w:szCs w:val="20"/>
              </w:rPr>
              <w:t>Zanele Sithole and Pearl Ngiba</w:t>
            </w:r>
          </w:p>
          <w:p w:rsidR="00D269C0" w:rsidRPr="00134803" w:rsidRDefault="00D269C0" w:rsidP="00F43B03">
            <w:pPr>
              <w:pStyle w:val="ListParagraph"/>
              <w:spacing w:line="360" w:lineRule="auto"/>
              <w:ind w:left="360"/>
              <w:jc w:val="center"/>
              <w:rPr>
                <w:color w:val="404040"/>
                <w:sz w:val="20"/>
                <w:szCs w:val="20"/>
              </w:rPr>
            </w:pPr>
            <w:r w:rsidRPr="00134803">
              <w:rPr>
                <w:color w:val="000000"/>
                <w:sz w:val="20"/>
                <w:szCs w:val="20"/>
              </w:rPr>
              <w:t>Tel number - 011</w:t>
            </w:r>
            <w:r w:rsidRPr="00134803">
              <w:rPr>
                <w:color w:val="404040"/>
                <w:sz w:val="20"/>
                <w:szCs w:val="20"/>
              </w:rPr>
              <w:t xml:space="preserve"> 403 1700</w:t>
            </w:r>
          </w:p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color w:val="404040"/>
                <w:sz w:val="20"/>
                <w:szCs w:val="20"/>
              </w:rPr>
              <w:t xml:space="preserve">Email:  </w:t>
            </w:r>
            <w:hyperlink r:id="rId8" w:history="1">
              <w:r w:rsidRPr="00F329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ZaneleS@fpmseta.org.za</w:t>
              </w:r>
            </w:hyperlink>
            <w:r w:rsidRPr="0013480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9" w:history="1">
              <w:r w:rsidRPr="001348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PearlN@fpmseta.org.za</w:t>
              </w:r>
            </w:hyperlink>
          </w:p>
        </w:tc>
        <w:tc>
          <w:tcPr>
            <w:tcW w:w="3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color w:val="404040"/>
                <w:sz w:val="20"/>
                <w:szCs w:val="20"/>
              </w:rPr>
            </w:pPr>
            <w:r w:rsidRPr="00134803">
              <w:rPr>
                <w:rStyle w:val="Strong"/>
                <w:rFonts w:asciiTheme="minorHAnsi" w:hAnsiTheme="minorHAnsi"/>
                <w:color w:val="404040"/>
                <w:sz w:val="20"/>
                <w:szCs w:val="20"/>
              </w:rPr>
              <w:t>Kwa-Zulu Natal</w:t>
            </w:r>
            <w:r w:rsidRPr="00134803">
              <w:rPr>
                <w:rStyle w:val="Strong"/>
                <w:rFonts w:asciiTheme="minorHAnsi" w:hAnsiTheme="minorHAnsi"/>
                <w:color w:val="1F497D"/>
                <w:sz w:val="20"/>
                <w:szCs w:val="20"/>
              </w:rPr>
              <w:t>,</w:t>
            </w:r>
            <w:r w:rsidRPr="00134803">
              <w:rPr>
                <w:rStyle w:val="Strong"/>
                <w:rFonts w:asciiTheme="minorHAnsi" w:hAnsiTheme="minorHAnsi"/>
                <w:color w:val="404040"/>
                <w:sz w:val="20"/>
                <w:szCs w:val="20"/>
              </w:rPr>
              <w:t xml:space="preserve"> Eastern Cape and Free State</w:t>
            </w:r>
          </w:p>
          <w:p w:rsidR="00D269C0" w:rsidRPr="00134803" w:rsidRDefault="00D269C0" w:rsidP="00F43B03">
            <w:pPr>
              <w:pStyle w:val="ListParagraph"/>
              <w:spacing w:line="360" w:lineRule="auto"/>
              <w:ind w:left="360"/>
              <w:rPr>
                <w:color w:val="404040"/>
                <w:sz w:val="20"/>
                <w:szCs w:val="20"/>
              </w:rPr>
            </w:pPr>
            <w:r w:rsidRPr="00134803">
              <w:rPr>
                <w:color w:val="404040"/>
                <w:sz w:val="20"/>
                <w:szCs w:val="20"/>
              </w:rPr>
              <w:t>Linda Zwane and Helvy Mnisi</w:t>
            </w:r>
          </w:p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color w:val="404040"/>
                <w:sz w:val="20"/>
                <w:szCs w:val="20"/>
              </w:rPr>
              <w:t>Tel number - 031 702 4482</w:t>
            </w:r>
            <w:r w:rsidRPr="00134803">
              <w:rPr>
                <w:rFonts w:asciiTheme="minorHAnsi" w:hAnsiTheme="minorHAnsi"/>
                <w:color w:val="404040"/>
                <w:sz w:val="20"/>
                <w:szCs w:val="20"/>
              </w:rPr>
              <w:br/>
              <w:t>Email: </w:t>
            </w:r>
            <w:hyperlink r:id="rId10" w:history="1">
              <w:r w:rsidRPr="00F3292D">
                <w:rPr>
                  <w:rStyle w:val="Hyperlink"/>
                  <w:rFonts w:asciiTheme="minorHAnsi" w:hAnsiTheme="minorHAnsi"/>
                  <w:sz w:val="20"/>
                  <w:szCs w:val="20"/>
                </w:rPr>
                <w:t>LindaZ@fpmseta.org.za</w:t>
              </w:r>
            </w:hyperlink>
            <w:r w:rsidRPr="0013480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11" w:history="1">
              <w:r w:rsidRPr="001348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HelvyM@fpmseta.org.za</w:t>
              </w:r>
            </w:hyperlink>
          </w:p>
        </w:tc>
        <w:tc>
          <w:tcPr>
            <w:tcW w:w="3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color w:val="404040"/>
                <w:sz w:val="20"/>
                <w:szCs w:val="20"/>
              </w:rPr>
            </w:pPr>
            <w:r w:rsidRPr="00134803">
              <w:rPr>
                <w:rStyle w:val="Strong"/>
                <w:rFonts w:asciiTheme="minorHAnsi" w:hAnsiTheme="minorHAnsi"/>
                <w:color w:val="404040"/>
                <w:sz w:val="20"/>
                <w:szCs w:val="20"/>
              </w:rPr>
              <w:t>Western Cape and Northern Cape</w:t>
            </w:r>
          </w:p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color w:val="000000"/>
                <w:sz w:val="20"/>
                <w:szCs w:val="20"/>
              </w:rPr>
              <w:t>Kehilwe Khwane and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br/>
            </w:r>
            <w:r w:rsidRPr="00134803">
              <w:rPr>
                <w:rFonts w:asciiTheme="minorHAnsi" w:hAnsiTheme="minorHAnsi"/>
                <w:color w:val="000000"/>
                <w:sz w:val="20"/>
                <w:szCs w:val="20"/>
              </w:rPr>
              <w:t>Gloria Ngqinambi</w:t>
            </w:r>
          </w:p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color w:val="404040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color w:val="404040"/>
                <w:sz w:val="20"/>
                <w:szCs w:val="20"/>
              </w:rPr>
              <w:t xml:space="preserve">Tel number – </w:t>
            </w:r>
            <w:r w:rsidRPr="00134803">
              <w:rPr>
                <w:rFonts w:asciiTheme="minorHAnsi" w:hAnsiTheme="minorHAnsi"/>
                <w:bCs/>
                <w:color w:val="404040"/>
                <w:sz w:val="20"/>
                <w:szCs w:val="20"/>
              </w:rPr>
              <w:t>021-462 0057</w:t>
            </w:r>
          </w:p>
          <w:p w:rsidR="00D269C0" w:rsidRPr="00134803" w:rsidRDefault="00D269C0" w:rsidP="00F43B03">
            <w:pP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34803">
              <w:rPr>
                <w:rFonts w:asciiTheme="minorHAnsi" w:hAnsiTheme="minorHAnsi"/>
                <w:color w:val="404040"/>
                <w:sz w:val="20"/>
                <w:szCs w:val="20"/>
              </w:rPr>
              <w:t xml:space="preserve">Email: </w:t>
            </w:r>
            <w:hyperlink r:id="rId12" w:history="1">
              <w:r w:rsidRPr="001348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KehilweK@fpmseta.org.za</w:t>
              </w:r>
            </w:hyperlink>
            <w:r w:rsidRPr="00134803">
              <w:rPr>
                <w:rFonts w:asciiTheme="minorHAnsi" w:hAnsiTheme="minorHAnsi"/>
                <w:sz w:val="20"/>
                <w:szCs w:val="20"/>
              </w:rPr>
              <w:t xml:space="preserve"> and </w:t>
            </w:r>
            <w:hyperlink r:id="rId13" w:history="1">
              <w:r w:rsidRPr="00134803">
                <w:rPr>
                  <w:rStyle w:val="Hyperlink"/>
                  <w:rFonts w:asciiTheme="minorHAnsi" w:hAnsiTheme="minorHAnsi"/>
                  <w:sz w:val="20"/>
                  <w:szCs w:val="20"/>
                </w:rPr>
                <w:t>GloriaN@fpmseta.org.za</w:t>
              </w:r>
            </w:hyperlink>
          </w:p>
        </w:tc>
      </w:tr>
    </w:tbl>
    <w:p w:rsidR="00D269C0" w:rsidRDefault="00D269C0" w:rsidP="00D269C0">
      <w:pPr>
        <w:ind w:left="360"/>
        <w:jc w:val="both"/>
        <w:rPr>
          <w:rFonts w:asciiTheme="minorHAnsi" w:hAnsiTheme="minorHAnsi"/>
          <w:b/>
          <w:sz w:val="20"/>
          <w:szCs w:val="20"/>
        </w:rPr>
      </w:pPr>
    </w:p>
    <w:p w:rsidR="00D269C0" w:rsidRPr="00134803" w:rsidRDefault="00D269C0" w:rsidP="00D269C0">
      <w:pPr>
        <w:ind w:left="36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Please submit booking forms by </w:t>
      </w:r>
      <w:r w:rsidR="000E3938">
        <w:rPr>
          <w:rFonts w:asciiTheme="minorHAnsi" w:hAnsiTheme="minorHAnsi"/>
          <w:b/>
        </w:rPr>
        <w:t>Tuesday, 30</w:t>
      </w:r>
      <w:bookmarkStart w:id="0" w:name="_GoBack"/>
      <w:bookmarkEnd w:id="0"/>
      <w:r w:rsidR="00DF054A" w:rsidRPr="00DF054A">
        <w:rPr>
          <w:rFonts w:asciiTheme="minorHAnsi" w:hAnsiTheme="minorHAnsi"/>
          <w:b/>
          <w:vertAlign w:val="superscript"/>
        </w:rPr>
        <w:t>th</w:t>
      </w:r>
      <w:r w:rsidR="00DF054A">
        <w:rPr>
          <w:rFonts w:asciiTheme="minorHAnsi" w:hAnsiTheme="minorHAnsi"/>
          <w:b/>
        </w:rPr>
        <w:t xml:space="preserve"> </w:t>
      </w:r>
      <w:r w:rsidRPr="007164D5">
        <w:rPr>
          <w:rFonts w:asciiTheme="minorHAnsi" w:hAnsiTheme="minorHAnsi"/>
          <w:b/>
        </w:rPr>
        <w:t>June 2015</w:t>
      </w:r>
      <w:r w:rsidRPr="00C168EC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to avoid disappointment.</w:t>
      </w:r>
    </w:p>
    <w:p w:rsidR="00D269C0" w:rsidRDefault="00D269C0" w:rsidP="00D269C0">
      <w:pPr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Next page / Course Outline</w:t>
      </w:r>
    </w:p>
    <w:p w:rsidR="00D269C0" w:rsidRDefault="00D269C0" w:rsidP="00D269C0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D269C0" w:rsidRDefault="00D269C0" w:rsidP="00D269C0"/>
    <w:p w:rsidR="00D269C0" w:rsidRDefault="00D269C0" w:rsidP="00D269C0"/>
    <w:p w:rsidR="00D269C0" w:rsidRDefault="00D269C0" w:rsidP="00D269C0"/>
    <w:p w:rsidR="00D269C0" w:rsidRPr="00EE3B8F" w:rsidRDefault="00D269C0" w:rsidP="00D269C0">
      <w:pPr>
        <w:tabs>
          <w:tab w:val="left" w:pos="3420"/>
          <w:tab w:val="left" w:pos="3510"/>
        </w:tabs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color w:val="000000"/>
          <w:sz w:val="40"/>
          <w:szCs w:val="40"/>
          <w:lang w:val="en-GB"/>
        </w:rPr>
      </w:pPr>
      <w:r w:rsidRPr="00EE3B8F">
        <w:rPr>
          <w:rFonts w:ascii="Trebuchet MS" w:hAnsi="Trebuchet MS" w:cs="TrebuchetMS,Bold"/>
          <w:b/>
          <w:bCs/>
          <w:color w:val="000000"/>
          <w:sz w:val="40"/>
          <w:szCs w:val="40"/>
          <w:lang w:val="en-GB"/>
        </w:rPr>
        <w:t>COURSE OUTLINE</w:t>
      </w:r>
    </w:p>
    <w:p w:rsidR="00D269C0" w:rsidRPr="00EE3B8F" w:rsidRDefault="00D269C0" w:rsidP="00D269C0">
      <w:pPr>
        <w:tabs>
          <w:tab w:val="left" w:pos="3420"/>
          <w:tab w:val="left" w:pos="3510"/>
        </w:tabs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color w:val="000000"/>
          <w:sz w:val="40"/>
          <w:szCs w:val="40"/>
          <w:lang w:val="en-GB"/>
        </w:rPr>
      </w:pPr>
      <w:r w:rsidRPr="00EE3B8F">
        <w:rPr>
          <w:rFonts w:ascii="Trebuchet MS" w:hAnsi="Trebuchet MS" w:cs="TrebuchetMS,Bold"/>
          <w:b/>
          <w:bCs/>
          <w:color w:val="000000"/>
          <w:sz w:val="40"/>
          <w:szCs w:val="40"/>
          <w:lang w:val="en-GB"/>
        </w:rPr>
        <w:t>Conduct Outcomes-based Assessments</w:t>
      </w:r>
    </w:p>
    <w:p w:rsidR="00D269C0" w:rsidRPr="00EE3B8F" w:rsidRDefault="00D269C0" w:rsidP="00D269C0">
      <w:pPr>
        <w:tabs>
          <w:tab w:val="left" w:pos="3420"/>
          <w:tab w:val="left" w:pos="3510"/>
        </w:tabs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color w:val="000000"/>
          <w:lang w:val="en-GB"/>
        </w:rPr>
      </w:pPr>
      <w:r w:rsidRPr="00EE3B8F">
        <w:rPr>
          <w:rFonts w:ascii="Trebuchet MS" w:hAnsi="Trebuchet MS" w:cs="TrebuchetMS,Bold"/>
          <w:b/>
          <w:bCs/>
          <w:color w:val="000000"/>
          <w:lang w:val="en-GB"/>
        </w:rPr>
        <w:t>Based on Unit Standard 115753</w:t>
      </w:r>
    </w:p>
    <w:p w:rsidR="00D269C0" w:rsidRPr="00EE3B8F" w:rsidRDefault="00D269C0" w:rsidP="00D269C0">
      <w:pPr>
        <w:tabs>
          <w:tab w:val="left" w:pos="3420"/>
          <w:tab w:val="left" w:pos="3510"/>
        </w:tabs>
        <w:autoSpaceDE w:val="0"/>
        <w:autoSpaceDN w:val="0"/>
        <w:adjustRightInd w:val="0"/>
        <w:jc w:val="center"/>
        <w:rPr>
          <w:rFonts w:ascii="Trebuchet MS" w:hAnsi="Trebuchet MS" w:cs="TrebuchetMS,Bold"/>
          <w:b/>
          <w:bCs/>
          <w:color w:val="000000"/>
          <w:lang w:val="en-GB"/>
        </w:rPr>
      </w:pPr>
      <w:r w:rsidRPr="00EE3B8F">
        <w:rPr>
          <w:rFonts w:ascii="Trebuchet MS" w:hAnsi="Trebuchet MS" w:cs="TrebuchetMS,Bold"/>
          <w:b/>
          <w:bCs/>
          <w:color w:val="000000"/>
          <w:lang w:val="en-GB"/>
        </w:rPr>
        <w:t>NQF level 5</w:t>
      </w:r>
    </w:p>
    <w:tbl>
      <w:tblPr>
        <w:tblW w:w="10558" w:type="dxa"/>
        <w:tblInd w:w="-640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shd w:val="clear" w:color="auto" w:fill="A6A6A6" w:themeFill="background1" w:themeFillShade="A6"/>
        <w:tblLook w:val="01E0" w:firstRow="1" w:lastRow="1" w:firstColumn="1" w:lastColumn="1" w:noHBand="0" w:noVBand="0"/>
      </w:tblPr>
      <w:tblGrid>
        <w:gridCol w:w="2024"/>
        <w:gridCol w:w="5506"/>
        <w:gridCol w:w="1211"/>
        <w:gridCol w:w="1817"/>
      </w:tblGrid>
      <w:tr w:rsidR="00D269C0" w:rsidRPr="00EE3B8F" w:rsidTr="00F43B03"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>Course objectives</w:t>
            </w:r>
          </w:p>
        </w:tc>
      </w:tr>
      <w:tr w:rsidR="00D269C0" w:rsidRPr="00EE3B8F" w:rsidTr="00F43B03">
        <w:trPr>
          <w:trHeight w:val="1897"/>
        </w:trPr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Default="00D269C0" w:rsidP="00F43B03">
            <w:pPr>
              <w:pStyle w:val="NormalWeb"/>
              <w:spacing w:before="0" w:beforeAutospacing="0" w:line="276" w:lineRule="auto"/>
              <w:jc w:val="both"/>
              <w:rPr>
                <w:rStyle w:val="apple-converted-space"/>
                <w:rFonts w:ascii="Trebuchet MS" w:hAnsi="Trebuchet MS"/>
                <w:color w:val="000000"/>
              </w:rPr>
            </w:pPr>
            <w:r w:rsidRPr="00EE3B8F">
              <w:rPr>
                <w:rStyle w:val="apple-style-span"/>
                <w:rFonts w:ascii="Trebuchet MS" w:hAnsi="Trebuchet MS" w:cs="Tahoma"/>
                <w:color w:val="000000"/>
                <w:sz w:val="22"/>
                <w:szCs w:val="22"/>
              </w:rPr>
              <w:t>This generic assessor unit standard is for those who assess people for their achievement of learning outcomes in terms of specified criteria using pre-designed assessment instruments. The outcomes and criteria may be defined in a range of documents including but not limited to unit standards, exit level outcomes, assessment standards, curriculum statements and qualifications.</w:t>
            </w:r>
            <w:r w:rsidRPr="00EE3B8F">
              <w:rPr>
                <w:rStyle w:val="apple-converted-space"/>
                <w:rFonts w:ascii="Trebuchet MS" w:hAnsi="Trebuchet MS"/>
                <w:color w:val="000000"/>
              </w:rPr>
              <w:t> </w:t>
            </w:r>
          </w:p>
          <w:p w:rsidR="00D269C0" w:rsidRPr="00EE3B8F" w:rsidRDefault="00D269C0" w:rsidP="00F43B03">
            <w:pPr>
              <w:pStyle w:val="NormalWeb"/>
              <w:spacing w:before="0" w:beforeAutospacing="0" w:line="276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EE3B8F">
              <w:rPr>
                <w:rStyle w:val="apple-style-span"/>
                <w:rFonts w:ascii="Trebuchet MS" w:hAnsi="Trebuchet MS" w:cs="Tahoma"/>
                <w:color w:val="000000"/>
                <w:sz w:val="22"/>
                <w:szCs w:val="22"/>
              </w:rPr>
              <w:t>Those who achieve this unit standard will be able to conduct assessments within their fields of expertise. This unit standard will contribute towards the achievement of a variety of qualifications, particularly within the fields of Education Training and Development Practices and Human Resource Development.</w:t>
            </w:r>
            <w:r w:rsidRPr="00EE3B8F">
              <w:rPr>
                <w:rStyle w:val="apple-converted-space"/>
                <w:rFonts w:ascii="Trebuchet MS" w:hAnsi="Trebuchet MS"/>
                <w:color w:val="000000"/>
              </w:rPr>
              <w:t> </w:t>
            </w:r>
            <w:r w:rsidRPr="00EE3B8F">
              <w:rPr>
                <w:rStyle w:val="apple-style-span"/>
                <w:rFonts w:ascii="Trebuchet MS" w:hAnsi="Trebuchet MS" w:cs="Tahoma"/>
                <w:color w:val="000000"/>
                <w:sz w:val="22"/>
                <w:szCs w:val="22"/>
              </w:rPr>
              <w:t>People credited with this unit standard are able to carry out assessments in a fair, valid, reliable and practicable manner that is free of all bias and discrimination, paying particular attention to the three groups targeted for redress: race, gender and disability.</w:t>
            </w:r>
            <w:r w:rsidRPr="00EE3B8F">
              <w:rPr>
                <w:rStyle w:val="apple-converted-space"/>
                <w:rFonts w:ascii="Trebuchet MS" w:hAnsi="Trebuchet MS"/>
                <w:color w:val="000000"/>
              </w:rPr>
              <w:t> </w:t>
            </w:r>
            <w:r w:rsidRPr="00EE3B8F">
              <w:rPr>
                <w:rFonts w:ascii="Trebuchet MS" w:hAnsi="Trebuchet MS" w:cs="Tahoma"/>
                <w:color w:val="000000"/>
                <w:sz w:val="22"/>
                <w:szCs w:val="22"/>
              </w:rPr>
              <w:br/>
            </w:r>
          </w:p>
        </w:tc>
      </w:tr>
      <w:tr w:rsidR="00D269C0" w:rsidRPr="00EE3B8F" w:rsidTr="00F43B03">
        <w:trPr>
          <w:trHeight w:val="286"/>
        </w:trPr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 xml:space="preserve">Workshop outcomes </w:t>
            </w:r>
          </w:p>
        </w:tc>
      </w:tr>
      <w:tr w:rsidR="00D269C0" w:rsidRPr="00EE3B8F" w:rsidTr="00F43B03">
        <w:trPr>
          <w:trHeight w:val="20"/>
        </w:trPr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bCs/>
                <w:color w:val="000000"/>
                <w:lang w:val="en-GB"/>
              </w:rPr>
            </w:pPr>
          </w:p>
          <w:p w:rsidR="00D269C0" w:rsidRPr="00EE3B8F" w:rsidRDefault="00D269C0" w:rsidP="00F43B03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The course meets all the outcomes of the assessor unit standard.</w:t>
            </w:r>
          </w:p>
          <w:p w:rsidR="00D269C0" w:rsidRPr="00EE3B8F" w:rsidRDefault="00D269C0" w:rsidP="00F43B03">
            <w:pPr>
              <w:tabs>
                <w:tab w:val="left" w:pos="2693"/>
              </w:tabs>
              <w:autoSpaceDE w:val="0"/>
              <w:autoSpaceDN w:val="0"/>
              <w:adjustRightInd w:val="0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It also provides you with insight into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The NQF system and the Skills Development Act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>
              <w:rPr>
                <w:rFonts w:ascii="Trebuchet MS" w:hAnsi="Trebuchet MS" w:cs="TrebuchetMS,Bold"/>
                <w:bCs/>
                <w:color w:val="000000"/>
                <w:lang w:val="en-GB"/>
              </w:rPr>
              <w:t>Outcomes based Education and Training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>
              <w:rPr>
                <w:rFonts w:ascii="Trebuchet MS" w:hAnsi="Trebuchet MS" w:cs="TrebuchetMS,Bold"/>
                <w:bCs/>
                <w:color w:val="000000"/>
                <w:lang w:val="en-GB"/>
              </w:rPr>
              <w:t>Assessment Process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Assessment principles and methods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Assessment implementation and procedures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lastRenderedPageBreak/>
              <w:t>Feedback after assessment and documentation required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Evidence of competence</w:t>
            </w:r>
          </w:p>
          <w:p w:rsidR="00D269C0" w:rsidRPr="008D0024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8D0024">
              <w:rPr>
                <w:rFonts w:ascii="Trebuchet MS" w:hAnsi="Trebuchet MS" w:cs="TrebuchetMS,Bold"/>
                <w:bCs/>
                <w:color w:val="000000"/>
                <w:lang w:val="en-GB"/>
              </w:rPr>
              <w:t>RPL assessments and RPL implementation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EE3B8F">
              <w:rPr>
                <w:rFonts w:ascii="Trebuchet MS" w:hAnsi="Trebuchet MS" w:cs="TrebuchetMS,Bold"/>
                <w:bCs/>
                <w:color w:val="000000"/>
                <w:lang w:val="en-GB"/>
              </w:rPr>
              <w:t>Portfolio preparation and assessment systems.</w:t>
            </w:r>
          </w:p>
          <w:p w:rsidR="00D269C0" w:rsidRPr="008D0024" w:rsidRDefault="00D269C0" w:rsidP="00D269C0">
            <w:pPr>
              <w:pStyle w:val="ListParagraph"/>
              <w:numPr>
                <w:ilvl w:val="0"/>
                <w:numId w:val="16"/>
              </w:numPr>
              <w:tabs>
                <w:tab w:val="left" w:pos="2693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rebuchet MS" w:hAnsi="Trebuchet MS" w:cs="TrebuchetMS,Bold"/>
                <w:bCs/>
                <w:color w:val="000000"/>
                <w:lang w:val="en-GB"/>
              </w:rPr>
            </w:pPr>
            <w:r w:rsidRPr="008D0024">
              <w:rPr>
                <w:rFonts w:ascii="Trebuchet MS" w:hAnsi="Trebuchet MS" w:cs="TrebuchetMS,Bold"/>
                <w:bCs/>
                <w:color w:val="000000"/>
                <w:lang w:val="en-GB"/>
              </w:rPr>
              <w:t>The New skills development environment</w:t>
            </w:r>
          </w:p>
          <w:p w:rsidR="00D269C0" w:rsidRPr="00EE3B8F" w:rsidRDefault="00D269C0" w:rsidP="00F43B03">
            <w:pPr>
              <w:tabs>
                <w:tab w:val="left" w:pos="1721"/>
              </w:tabs>
              <w:autoSpaceDE w:val="0"/>
              <w:autoSpaceDN w:val="0"/>
              <w:adjustRightInd w:val="0"/>
              <w:rPr>
                <w:rFonts w:ascii="Trebuchet MS" w:hAnsi="Trebuchet MS"/>
                <w:b/>
                <w:bCs/>
                <w:highlight w:val="red"/>
                <w:lang w:val="en-GB"/>
              </w:rPr>
            </w:pPr>
          </w:p>
        </w:tc>
      </w:tr>
      <w:tr w:rsidR="00D269C0" w:rsidRPr="00EE3B8F" w:rsidTr="00F43B03"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lastRenderedPageBreak/>
              <w:t>Target Group</w:t>
            </w:r>
          </w:p>
        </w:tc>
      </w:tr>
      <w:tr w:rsidR="00D269C0" w:rsidRPr="00EE3B8F" w:rsidTr="00F43B03">
        <w:trPr>
          <w:trHeight w:val="1249"/>
        </w:trPr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Pr="00EE3B8F" w:rsidRDefault="00D269C0" w:rsidP="00F43B03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 w:cs="TrebuchetMS,Bold"/>
                <w:b/>
                <w:bCs/>
                <w:color w:val="000000"/>
                <w:lang w:val="en-GB"/>
              </w:rPr>
            </w:pP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If you need to assess candidates against unit standards / qualifications, then this generic course is for you. Once you have completed the course, you will be able to conduct assessments within your field of expertise.</w:t>
            </w: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The course is designed for the following people: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Educators / lecturers</w:t>
            </w:r>
            <w:r>
              <w:rPr>
                <w:rFonts w:ascii="Trebuchet MS" w:hAnsi="Trebuchet MS"/>
                <w:bCs/>
                <w:lang w:val="en-GB"/>
              </w:rPr>
              <w:t>, Facilitators</w:t>
            </w:r>
            <w:r w:rsidRPr="00EE3B8F">
              <w:rPr>
                <w:rFonts w:ascii="Trebuchet MS" w:hAnsi="Trebuchet MS"/>
                <w:bCs/>
                <w:lang w:val="en-GB"/>
              </w:rPr>
              <w:t xml:space="preserve"> and </w:t>
            </w:r>
            <w:r>
              <w:rPr>
                <w:rFonts w:ascii="Trebuchet MS" w:hAnsi="Trebuchet MS"/>
                <w:bCs/>
                <w:lang w:val="en-GB"/>
              </w:rPr>
              <w:t>T</w:t>
            </w:r>
            <w:r w:rsidRPr="00EE3B8F">
              <w:rPr>
                <w:rFonts w:ascii="Trebuchet MS" w:hAnsi="Trebuchet MS"/>
                <w:bCs/>
                <w:lang w:val="en-GB"/>
              </w:rPr>
              <w:t>rainers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Training co-ordinators; training officers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HR and HRD practitioners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Line staff such as supervisors and managers responsible for</w:t>
            </w:r>
            <w:r>
              <w:rPr>
                <w:rFonts w:ascii="Trebuchet MS" w:hAnsi="Trebuchet MS"/>
                <w:bCs/>
                <w:lang w:val="en-GB"/>
              </w:rPr>
              <w:t xml:space="preserve"> assessment /</w:t>
            </w:r>
            <w:proofErr w:type="spellStart"/>
            <w:r w:rsidRPr="00EE3B8F">
              <w:rPr>
                <w:rFonts w:ascii="Trebuchet MS" w:hAnsi="Trebuchet MS"/>
                <w:bCs/>
                <w:lang w:val="en-GB"/>
              </w:rPr>
              <w:t>learnerships</w:t>
            </w:r>
            <w:proofErr w:type="spellEnd"/>
            <w:r w:rsidRPr="00EE3B8F">
              <w:rPr>
                <w:rFonts w:ascii="Trebuchet MS" w:hAnsi="Trebuchet MS"/>
                <w:bCs/>
                <w:lang w:val="en-GB"/>
              </w:rPr>
              <w:t xml:space="preserve"> / apprenticeships in the workplace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Organizations working towards accreditation</w:t>
            </w:r>
          </w:p>
          <w:p w:rsidR="00D269C0" w:rsidRPr="00EE3B8F" w:rsidRDefault="00D269C0" w:rsidP="00F43B03">
            <w:pPr>
              <w:pStyle w:val="ListParagraph"/>
              <w:autoSpaceDE w:val="0"/>
              <w:autoSpaceDN w:val="0"/>
              <w:adjustRightInd w:val="0"/>
              <w:spacing w:after="0"/>
              <w:jc w:val="both"/>
              <w:rPr>
                <w:rFonts w:ascii="Trebuchet MS" w:hAnsi="Trebuchet MS"/>
                <w:bCs/>
                <w:lang w:val="en-GB"/>
              </w:rPr>
            </w:pPr>
          </w:p>
        </w:tc>
      </w:tr>
      <w:tr w:rsidR="00D269C0" w:rsidRPr="00EE3B8F" w:rsidTr="00F43B03"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>Duration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1150"/>
        </w:trPr>
        <w:tc>
          <w:tcPr>
            <w:tcW w:w="10558" w:type="dxa"/>
            <w:gridSpan w:val="4"/>
            <w:shd w:val="clear" w:color="auto" w:fill="A6A6A6" w:themeFill="background1" w:themeFillShade="A6"/>
            <w:vAlign w:val="center"/>
          </w:tcPr>
          <w:p w:rsidR="00D269C0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GB"/>
              </w:rPr>
            </w:pP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GB"/>
              </w:rPr>
            </w:pPr>
            <w:r w:rsidRPr="00EE3B8F">
              <w:rPr>
                <w:rFonts w:ascii="Trebuchet MS" w:hAnsi="Trebuchet MS"/>
                <w:lang w:val="en-GB"/>
              </w:rPr>
              <w:t>The course runs over a total of three to f</w:t>
            </w:r>
            <w:r>
              <w:rPr>
                <w:rFonts w:ascii="Trebuchet MS" w:hAnsi="Trebuchet MS"/>
                <w:lang w:val="en-GB"/>
              </w:rPr>
              <w:t>ive days</w:t>
            </w:r>
            <w:r w:rsidRPr="00EE3B8F">
              <w:rPr>
                <w:rFonts w:ascii="Trebuchet MS" w:hAnsi="Trebuchet MS"/>
                <w:lang w:val="en-GB"/>
              </w:rPr>
              <w:t>:</w:t>
            </w:r>
          </w:p>
          <w:p w:rsidR="00D269C0" w:rsidRPr="00EE3B8F" w:rsidRDefault="00D269C0" w:rsidP="00D269C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/>
                <w:lang w:val="en-GB"/>
              </w:rPr>
            </w:pPr>
            <w:r w:rsidRPr="00EE3B8F">
              <w:rPr>
                <w:rFonts w:ascii="Trebuchet MS" w:hAnsi="Trebuchet MS"/>
                <w:lang w:val="en-GB"/>
              </w:rPr>
              <w:t>A three</w:t>
            </w:r>
            <w:r>
              <w:rPr>
                <w:rFonts w:ascii="Trebuchet MS" w:hAnsi="Trebuchet MS"/>
                <w:lang w:val="en-GB"/>
              </w:rPr>
              <w:t xml:space="preserve"> to five </w:t>
            </w:r>
            <w:proofErr w:type="spellStart"/>
            <w:r>
              <w:rPr>
                <w:rFonts w:ascii="Trebuchet MS" w:hAnsi="Trebuchet MS"/>
                <w:lang w:val="en-GB"/>
              </w:rPr>
              <w:t>days</w:t>
            </w:r>
            <w:proofErr w:type="spellEnd"/>
            <w:r w:rsidRPr="00EE3B8F">
              <w:rPr>
                <w:rFonts w:ascii="Trebuchet MS" w:hAnsi="Trebuchet MS"/>
                <w:lang w:val="en-GB"/>
              </w:rPr>
              <w:t xml:space="preserve"> workshop</w:t>
            </w: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/>
                <w:lang w:val="en-GB"/>
              </w:rPr>
            </w:pP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>Entry Level Requirements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rebuchetMS,Bold"/>
                <w:b/>
                <w:bCs/>
                <w:lang w:val="en-GB"/>
              </w:rPr>
            </w:pP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 xml:space="preserve">All you need is a qualification or experience, at least on the same level, in the occupation or subject matter that you will have to assess. 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lastRenderedPageBreak/>
              <w:t>Unit Standard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2024" w:type="dxa"/>
            <w:shd w:val="clear" w:color="auto" w:fill="A6A6A6" w:themeFill="background1" w:themeFillShade="A6"/>
            <w:vAlign w:val="bottom"/>
          </w:tcPr>
          <w:p w:rsidR="00D269C0" w:rsidRPr="00EE3B8F" w:rsidRDefault="00D269C0" w:rsidP="00F43B03">
            <w:pPr>
              <w:rPr>
                <w:rFonts w:ascii="Trebuchet MS" w:hAnsi="Trebuchet MS"/>
                <w:b/>
                <w:bCs/>
                <w:lang w:val="en-GB"/>
              </w:rPr>
            </w:pPr>
          </w:p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lang w:val="en-GB"/>
              </w:rPr>
              <w:t>SAQA Code</w:t>
            </w:r>
          </w:p>
        </w:tc>
        <w:tc>
          <w:tcPr>
            <w:tcW w:w="5506" w:type="dxa"/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lang w:val="en-GB"/>
              </w:rPr>
            </w:pP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MS,Bold"/>
                <w:b/>
                <w:lang w:val="en-GB"/>
              </w:rPr>
            </w:pPr>
            <w:r>
              <w:rPr>
                <w:rFonts w:ascii="Trebuchet MS" w:hAnsi="Trebuchet MS" w:cs="TrebuchetMS,Bold"/>
                <w:b/>
                <w:lang w:val="en-GB"/>
              </w:rPr>
              <w:t>Unit Standard T</w:t>
            </w:r>
            <w:r w:rsidRPr="00EE3B8F">
              <w:rPr>
                <w:rFonts w:ascii="Trebuchet MS" w:hAnsi="Trebuchet MS" w:cs="TrebuchetMS,Bold"/>
                <w:b/>
                <w:lang w:val="en-GB"/>
              </w:rPr>
              <w:t>itle</w:t>
            </w:r>
          </w:p>
        </w:tc>
        <w:tc>
          <w:tcPr>
            <w:tcW w:w="1211" w:type="dxa"/>
            <w:shd w:val="clear" w:color="auto" w:fill="A6A6A6" w:themeFill="background1" w:themeFillShade="A6"/>
            <w:vAlign w:val="bottom"/>
          </w:tcPr>
          <w:p w:rsidR="00D269C0" w:rsidRPr="00EE3B8F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lang w:val="en-GB"/>
              </w:rPr>
            </w:pPr>
            <w:r w:rsidRPr="00EE3B8F">
              <w:rPr>
                <w:rFonts w:ascii="Trebuchet MS" w:hAnsi="Trebuchet MS"/>
                <w:b/>
                <w:lang w:val="en-GB"/>
              </w:rPr>
              <w:t>Level</w:t>
            </w:r>
          </w:p>
        </w:tc>
        <w:tc>
          <w:tcPr>
            <w:tcW w:w="1817" w:type="dxa"/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b/>
                <w:bCs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lang w:val="en-GB"/>
              </w:rPr>
              <w:t>Credits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024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</w:p>
          <w:p w:rsidR="00D269C0" w:rsidRPr="00EE3B8F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115753</w:t>
            </w:r>
          </w:p>
        </w:tc>
        <w:tc>
          <w:tcPr>
            <w:tcW w:w="5506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rPr>
                <w:rStyle w:val="apple-style-span"/>
                <w:rFonts w:ascii="Trebuchet MS" w:hAnsi="Trebuchet MS" w:cs="Tahoma"/>
                <w:color w:val="000000"/>
              </w:rPr>
            </w:pPr>
          </w:p>
          <w:p w:rsidR="00D269C0" w:rsidRPr="00EE3B8F" w:rsidRDefault="00D269C0" w:rsidP="00F43B03">
            <w:pPr>
              <w:rPr>
                <w:rFonts w:ascii="Trebuchet MS" w:hAnsi="Trebuchet MS" w:cs="Tahoma"/>
                <w:color w:val="000000"/>
              </w:rPr>
            </w:pPr>
            <w:r w:rsidRPr="00EE3B8F">
              <w:rPr>
                <w:rStyle w:val="apple-style-span"/>
                <w:rFonts w:ascii="Trebuchet MS" w:hAnsi="Trebuchet MS" w:cs="Tahoma"/>
                <w:color w:val="000000"/>
              </w:rPr>
              <w:t>Conduct outcomes-based assessment </w:t>
            </w:r>
          </w:p>
        </w:tc>
        <w:tc>
          <w:tcPr>
            <w:tcW w:w="1211" w:type="dxa"/>
            <w:tcBorders>
              <w:top w:val="single" w:sz="8" w:space="0" w:color="F79646"/>
              <w:bottom w:val="single" w:sz="8" w:space="0" w:color="F79646"/>
            </w:tcBorders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</w:p>
          <w:p w:rsidR="00D269C0" w:rsidRPr="00EE3B8F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5</w:t>
            </w:r>
          </w:p>
        </w:tc>
        <w:tc>
          <w:tcPr>
            <w:tcW w:w="1817" w:type="dxa"/>
            <w:tcBorders>
              <w:top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  <w:vAlign w:val="bottom"/>
          </w:tcPr>
          <w:p w:rsidR="00D269C0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</w:p>
          <w:p w:rsidR="00D269C0" w:rsidRPr="00EE3B8F" w:rsidRDefault="00D269C0" w:rsidP="00F43B03">
            <w:pPr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>15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>Specific Outcomes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Verdana"/>
                <w:bCs/>
                <w:lang w:val="en-GB"/>
              </w:rPr>
            </w:pPr>
          </w:p>
          <w:p w:rsidR="00D269C0" w:rsidRDefault="00D269C0" w:rsidP="00D269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Verdana"/>
                <w:bCs/>
                <w:lang w:val="en-GB"/>
              </w:rPr>
            </w:pPr>
            <w:r>
              <w:rPr>
                <w:rFonts w:ascii="Trebuchet MS" w:hAnsi="Trebuchet MS" w:cs="Verdana"/>
                <w:bCs/>
                <w:lang w:val="en-GB"/>
              </w:rPr>
              <w:t>Demonstrate understanding of Outcomes based Assessments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Verdana"/>
                <w:bCs/>
                <w:lang w:val="en-GB"/>
              </w:rPr>
            </w:pPr>
            <w:r>
              <w:rPr>
                <w:rFonts w:ascii="Trebuchet MS" w:hAnsi="Trebuchet MS" w:cs="Verdana"/>
                <w:bCs/>
                <w:lang w:val="en-GB"/>
              </w:rPr>
              <w:t>Plan and Prepare for Assessment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Verdana"/>
                <w:bCs/>
                <w:lang w:val="en-GB"/>
              </w:rPr>
            </w:pPr>
            <w:r>
              <w:rPr>
                <w:rFonts w:ascii="Trebuchet MS" w:hAnsi="Trebuchet MS" w:cs="Verdana"/>
                <w:bCs/>
                <w:lang w:val="en-GB"/>
              </w:rPr>
              <w:t>Conduct Assessments</w:t>
            </w:r>
          </w:p>
          <w:p w:rsidR="00D269C0" w:rsidRDefault="00D269C0" w:rsidP="00D269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Verdana"/>
                <w:bCs/>
                <w:lang w:val="en-GB"/>
              </w:rPr>
            </w:pPr>
            <w:r>
              <w:rPr>
                <w:rFonts w:ascii="Trebuchet MS" w:hAnsi="Trebuchet MS" w:cs="Verdana"/>
                <w:bCs/>
                <w:lang w:val="en-GB"/>
              </w:rPr>
              <w:t>Provide feedback on assessment; and</w:t>
            </w:r>
          </w:p>
          <w:p w:rsidR="00D269C0" w:rsidRPr="00997C08" w:rsidRDefault="00D269C0" w:rsidP="00D269C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rebuchet MS" w:hAnsi="Trebuchet MS" w:cs="Verdana"/>
                <w:bCs/>
                <w:lang w:val="en-GB"/>
              </w:rPr>
            </w:pPr>
            <w:r>
              <w:rPr>
                <w:rFonts w:ascii="Trebuchet MS" w:hAnsi="Trebuchet MS" w:cs="Verdana"/>
                <w:bCs/>
                <w:lang w:val="en-GB"/>
              </w:rPr>
              <w:t>Review assessments</w:t>
            </w: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Verdana"/>
                <w:bCs/>
                <w:lang w:val="en-GB"/>
              </w:rPr>
            </w:pP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c>
          <w:tcPr>
            <w:tcW w:w="10558" w:type="dxa"/>
            <w:gridSpan w:val="4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A6A6A6" w:themeFill="background1" w:themeFillShade="A6"/>
          </w:tcPr>
          <w:p w:rsidR="00D269C0" w:rsidRPr="00EE3B8F" w:rsidRDefault="00D269C0" w:rsidP="00F43B03">
            <w:pPr>
              <w:jc w:val="center"/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</w:pPr>
            <w:r w:rsidRPr="00EE3B8F">
              <w:rPr>
                <w:rFonts w:ascii="Trebuchet MS" w:hAnsi="Trebuchet MS"/>
                <w:b/>
                <w:bCs/>
                <w:color w:val="FFFFFF"/>
                <w:sz w:val="36"/>
                <w:szCs w:val="36"/>
                <w:lang w:val="en-GB"/>
              </w:rPr>
              <w:t>Assessment and Certification</w:t>
            </w:r>
          </w:p>
        </w:tc>
      </w:tr>
      <w:tr w:rsidR="00D269C0" w:rsidRPr="00EE3B8F" w:rsidTr="00F43B03">
        <w:tblPrEx>
          <w:tblLook w:val="04A0" w:firstRow="1" w:lastRow="0" w:firstColumn="1" w:lastColumn="0" w:noHBand="0" w:noVBand="1"/>
        </w:tblPrEx>
        <w:trPr>
          <w:trHeight w:val="1506"/>
        </w:trPr>
        <w:tc>
          <w:tcPr>
            <w:tcW w:w="10558" w:type="dxa"/>
            <w:gridSpan w:val="4"/>
            <w:shd w:val="clear" w:color="auto" w:fill="A6A6A6" w:themeFill="background1" w:themeFillShade="A6"/>
          </w:tcPr>
          <w:p w:rsidR="00D269C0" w:rsidRDefault="00D269C0" w:rsidP="00F43B0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 xml:space="preserve"> </w:t>
            </w:r>
          </w:p>
          <w:p w:rsidR="00D269C0" w:rsidRPr="00EE3B8F" w:rsidRDefault="00D269C0" w:rsidP="00F43B03">
            <w:pPr>
              <w:autoSpaceDE w:val="0"/>
              <w:autoSpaceDN w:val="0"/>
              <w:adjustRightInd w:val="0"/>
              <w:rPr>
                <w:rFonts w:ascii="Trebuchet MS" w:hAnsi="Trebuchet MS"/>
                <w:bCs/>
                <w:lang w:val="en-GB"/>
              </w:rPr>
            </w:pPr>
            <w:r w:rsidRPr="00EE3B8F">
              <w:rPr>
                <w:rFonts w:ascii="Trebuchet MS" w:hAnsi="Trebuchet MS"/>
                <w:bCs/>
                <w:lang w:val="en-GB"/>
              </w:rPr>
              <w:t xml:space="preserve">ETDP SETA </w:t>
            </w:r>
          </w:p>
        </w:tc>
      </w:tr>
    </w:tbl>
    <w:p w:rsidR="00D269C0" w:rsidRDefault="00D269C0" w:rsidP="00D269C0"/>
    <w:p w:rsidR="00562D44" w:rsidRPr="00430ACE" w:rsidRDefault="00562D44" w:rsidP="00430ACE">
      <w:pPr>
        <w:jc w:val="center"/>
        <w:rPr>
          <w:rFonts w:ascii="Arial" w:hAnsi="Arial" w:cs="Arial"/>
          <w:b/>
          <w:sz w:val="22"/>
          <w:szCs w:val="22"/>
        </w:rPr>
      </w:pPr>
    </w:p>
    <w:sectPr w:rsidR="00562D44" w:rsidRPr="00430ACE" w:rsidSect="00414E42">
      <w:headerReference w:type="default" r:id="rId14"/>
      <w:footerReference w:type="default" r:id="rId15"/>
      <w:pgSz w:w="12240" w:h="15840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33F" w:rsidRDefault="003A033F" w:rsidP="00267281">
      <w:r>
        <w:separator/>
      </w:r>
    </w:p>
  </w:endnote>
  <w:endnote w:type="continuationSeparator" w:id="0">
    <w:p w:rsidR="003A033F" w:rsidRDefault="003A033F" w:rsidP="00267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ebuchetM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9" w:rsidRDefault="00BD504A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-588274</wp:posOffset>
          </wp:positionV>
          <wp:extent cx="7827264" cy="1737360"/>
          <wp:effectExtent l="0" t="0" r="2540" b="0"/>
          <wp:wrapTopAndBottom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264" cy="1737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808A9" w:rsidRDefault="0078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33F" w:rsidRDefault="003A033F" w:rsidP="00267281">
      <w:r>
        <w:separator/>
      </w:r>
    </w:p>
  </w:footnote>
  <w:footnote w:type="continuationSeparator" w:id="0">
    <w:p w:rsidR="003A033F" w:rsidRDefault="003A033F" w:rsidP="002672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8A9" w:rsidRDefault="007808A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2152015</wp:posOffset>
          </wp:positionH>
          <wp:positionV relativeFrom="page">
            <wp:posOffset>446973</wp:posOffset>
          </wp:positionV>
          <wp:extent cx="3488424" cy="1405719"/>
          <wp:effectExtent l="0" t="0" r="0" b="4445"/>
          <wp:wrapTopAndBottom/>
          <wp:docPr id="32" name="Picture 1" descr="FP&amp;M Logo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P&amp;M Logo Colou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8424" cy="14057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7A50"/>
    <w:multiLevelType w:val="hybridMultilevel"/>
    <w:tmpl w:val="26108C6C"/>
    <w:lvl w:ilvl="0" w:tplc="1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04851B00"/>
    <w:multiLevelType w:val="hybridMultilevel"/>
    <w:tmpl w:val="193088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721BF"/>
    <w:multiLevelType w:val="hybridMultilevel"/>
    <w:tmpl w:val="D74AEA6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7E3351"/>
    <w:multiLevelType w:val="hybridMultilevel"/>
    <w:tmpl w:val="CDC0EA4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4453F5E"/>
    <w:multiLevelType w:val="multilevel"/>
    <w:tmpl w:val="13063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164C18DD"/>
    <w:multiLevelType w:val="hybridMultilevel"/>
    <w:tmpl w:val="075E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3224E"/>
    <w:multiLevelType w:val="hybridMultilevel"/>
    <w:tmpl w:val="6180E0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FD17C8"/>
    <w:multiLevelType w:val="hybridMultilevel"/>
    <w:tmpl w:val="780A8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D39EC"/>
    <w:multiLevelType w:val="hybridMultilevel"/>
    <w:tmpl w:val="BB08B1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96AF4"/>
    <w:multiLevelType w:val="hybridMultilevel"/>
    <w:tmpl w:val="AAC6E9BA"/>
    <w:lvl w:ilvl="0" w:tplc="1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182472A"/>
    <w:multiLevelType w:val="hybridMultilevel"/>
    <w:tmpl w:val="97FE94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2A4ED3"/>
    <w:multiLevelType w:val="hybridMultilevel"/>
    <w:tmpl w:val="89FAC4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FD2C0F"/>
    <w:multiLevelType w:val="hybridMultilevel"/>
    <w:tmpl w:val="DE52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8A7D2F"/>
    <w:multiLevelType w:val="multilevel"/>
    <w:tmpl w:val="1798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D9A0625"/>
    <w:multiLevelType w:val="hybridMultilevel"/>
    <w:tmpl w:val="9C4480B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5D7123"/>
    <w:multiLevelType w:val="hybridMultilevel"/>
    <w:tmpl w:val="4CE43CC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2"/>
  </w:num>
  <w:num w:numId="5">
    <w:abstractNumId w:val="0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2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  <w:num w:numId="15">
    <w:abstractNumId w:val="8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825"/>
    <w:rsid w:val="00033724"/>
    <w:rsid w:val="0005763E"/>
    <w:rsid w:val="000E2A88"/>
    <w:rsid w:val="000E3938"/>
    <w:rsid w:val="001336DB"/>
    <w:rsid w:val="00141785"/>
    <w:rsid w:val="00150894"/>
    <w:rsid w:val="00155A3E"/>
    <w:rsid w:val="00180753"/>
    <w:rsid w:val="001F446D"/>
    <w:rsid w:val="00217CBD"/>
    <w:rsid w:val="0026441D"/>
    <w:rsid w:val="00267281"/>
    <w:rsid w:val="002C5055"/>
    <w:rsid w:val="002E2DF6"/>
    <w:rsid w:val="002E6993"/>
    <w:rsid w:val="003064C8"/>
    <w:rsid w:val="00312825"/>
    <w:rsid w:val="00367566"/>
    <w:rsid w:val="00375E9D"/>
    <w:rsid w:val="0038532B"/>
    <w:rsid w:val="003A033F"/>
    <w:rsid w:val="00405E7C"/>
    <w:rsid w:val="00414E42"/>
    <w:rsid w:val="00430ACE"/>
    <w:rsid w:val="00443DEF"/>
    <w:rsid w:val="00496F6D"/>
    <w:rsid w:val="004C2FEF"/>
    <w:rsid w:val="004E11B0"/>
    <w:rsid w:val="00562D44"/>
    <w:rsid w:val="005723B2"/>
    <w:rsid w:val="005A6FBE"/>
    <w:rsid w:val="005B0171"/>
    <w:rsid w:val="005E3687"/>
    <w:rsid w:val="006C0900"/>
    <w:rsid w:val="007007AB"/>
    <w:rsid w:val="00776B6A"/>
    <w:rsid w:val="007808A9"/>
    <w:rsid w:val="007E6CC4"/>
    <w:rsid w:val="00865A76"/>
    <w:rsid w:val="00877394"/>
    <w:rsid w:val="008C70A9"/>
    <w:rsid w:val="008D1D6D"/>
    <w:rsid w:val="009105E5"/>
    <w:rsid w:val="00956FCB"/>
    <w:rsid w:val="009B1E6A"/>
    <w:rsid w:val="009D250A"/>
    <w:rsid w:val="009D2BFB"/>
    <w:rsid w:val="009F2721"/>
    <w:rsid w:val="009F75E0"/>
    <w:rsid w:val="00A30A56"/>
    <w:rsid w:val="00A40410"/>
    <w:rsid w:val="00A43FB7"/>
    <w:rsid w:val="00AE7AC1"/>
    <w:rsid w:val="00B66C6E"/>
    <w:rsid w:val="00BC4B63"/>
    <w:rsid w:val="00BD504A"/>
    <w:rsid w:val="00C14F40"/>
    <w:rsid w:val="00C22439"/>
    <w:rsid w:val="00CB3882"/>
    <w:rsid w:val="00CF7FDE"/>
    <w:rsid w:val="00D269C0"/>
    <w:rsid w:val="00D92259"/>
    <w:rsid w:val="00DE40E0"/>
    <w:rsid w:val="00DF054A"/>
    <w:rsid w:val="00E20666"/>
    <w:rsid w:val="00E5177A"/>
    <w:rsid w:val="00E751DF"/>
    <w:rsid w:val="00E8469C"/>
    <w:rsid w:val="00F722C6"/>
    <w:rsid w:val="00F74B82"/>
    <w:rsid w:val="00FB384E"/>
    <w:rsid w:val="00FF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4A6267-3FE6-4D02-BD17-1C011050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67281"/>
    <w:pPr>
      <w:keepNext/>
      <w:outlineLvl w:val="2"/>
    </w:pPr>
    <w:rPr>
      <w:b/>
      <w:sz w:val="3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8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281"/>
  </w:style>
  <w:style w:type="paragraph" w:styleId="Footer">
    <w:name w:val="footer"/>
    <w:basedOn w:val="Normal"/>
    <w:link w:val="FooterChar"/>
    <w:uiPriority w:val="99"/>
    <w:unhideWhenUsed/>
    <w:rsid w:val="002672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281"/>
  </w:style>
  <w:style w:type="character" w:customStyle="1" w:styleId="Heading3Char">
    <w:name w:val="Heading 3 Char"/>
    <w:basedOn w:val="DefaultParagraphFont"/>
    <w:link w:val="Heading3"/>
    <w:rsid w:val="00267281"/>
    <w:rPr>
      <w:rFonts w:ascii="Times New Roman" w:eastAsia="Times New Roman" w:hAnsi="Times New Roman" w:cs="Times New Roman"/>
      <w:b/>
      <w:sz w:val="36"/>
      <w:szCs w:val="56"/>
    </w:rPr>
  </w:style>
  <w:style w:type="character" w:styleId="Hyperlink">
    <w:name w:val="Hyperlink"/>
    <w:basedOn w:val="DefaultParagraphFont"/>
    <w:unhideWhenUsed/>
    <w:rsid w:val="007808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9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033724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33724"/>
    <w:rPr>
      <w:rFonts w:ascii="Arial" w:eastAsia="Times New Roman" w:hAnsi="Arial" w:cs="Arial"/>
      <w:b/>
      <w:bCs/>
      <w:sz w:val="24"/>
      <w:szCs w:val="24"/>
    </w:rPr>
  </w:style>
  <w:style w:type="paragraph" w:styleId="BodyText2">
    <w:name w:val="Body Text 2"/>
    <w:basedOn w:val="Normal"/>
    <w:link w:val="BodyText2Char"/>
    <w:semiHidden/>
    <w:rsid w:val="00033724"/>
    <w:pPr>
      <w:jc w:val="both"/>
    </w:pPr>
    <w:rPr>
      <w:rFonts w:ascii="Arial" w:hAnsi="Arial" w:cs="Arial"/>
      <w:sz w:val="20"/>
      <w:lang w:val="en-GB"/>
    </w:rPr>
  </w:style>
  <w:style w:type="character" w:customStyle="1" w:styleId="BodyText2Char">
    <w:name w:val="Body Text 2 Char"/>
    <w:basedOn w:val="DefaultParagraphFont"/>
    <w:link w:val="BodyText2"/>
    <w:semiHidden/>
    <w:rsid w:val="00033724"/>
    <w:rPr>
      <w:rFonts w:ascii="Arial" w:eastAsia="Times New Roman" w:hAnsi="Arial" w:cs="Arial"/>
      <w:sz w:val="20"/>
      <w:szCs w:val="24"/>
      <w:lang w:val="en-GB"/>
    </w:rPr>
  </w:style>
  <w:style w:type="paragraph" w:customStyle="1" w:styleId="Default">
    <w:name w:val="Default"/>
    <w:rsid w:val="00306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865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A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A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A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C4B63"/>
    <w:pPr>
      <w:spacing w:before="100" w:beforeAutospacing="1" w:after="100" w:afterAutospacing="1"/>
    </w:pPr>
    <w:rPr>
      <w:rFonts w:ascii="Verdana" w:hAnsi="Verdana"/>
      <w:color w:val="404040"/>
      <w:sz w:val="20"/>
      <w:szCs w:val="20"/>
      <w:lang w:val="en-ZA" w:eastAsia="en-ZA"/>
    </w:rPr>
  </w:style>
  <w:style w:type="character" w:styleId="Strong">
    <w:name w:val="Strong"/>
    <w:basedOn w:val="DefaultParagraphFont"/>
    <w:uiPriority w:val="22"/>
    <w:qFormat/>
    <w:rsid w:val="00BC4B63"/>
    <w:rPr>
      <w:b/>
      <w:bCs/>
    </w:rPr>
  </w:style>
  <w:style w:type="character" w:customStyle="1" w:styleId="apple-style-span">
    <w:name w:val="apple-style-span"/>
    <w:basedOn w:val="DefaultParagraphFont"/>
    <w:rsid w:val="00D269C0"/>
  </w:style>
  <w:style w:type="character" w:customStyle="1" w:styleId="apple-converted-space">
    <w:name w:val="apple-converted-space"/>
    <w:basedOn w:val="DefaultParagraphFont"/>
    <w:rsid w:val="00D26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4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83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eleS@fpmseta.org.za" TargetMode="External"/><Relationship Id="rId13" Type="http://schemas.openxmlformats.org/officeDocument/2006/relationships/hyperlink" Target="mailto:GloriaN@fpmseta.org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ehilweK@fpmseta.org.z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lvyM@fpmseta.org.z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LindaZ@fpmseta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arlN@fpmseta.org.za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FP&amp;MSETA</Company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FP&amp;MSETA</dc:creator>
  <cp:lastModifiedBy>Ndala Boy</cp:lastModifiedBy>
  <cp:revision>2</cp:revision>
  <cp:lastPrinted>2015-04-10T09:56:00Z</cp:lastPrinted>
  <dcterms:created xsi:type="dcterms:W3CDTF">2015-06-10T11:37:00Z</dcterms:created>
  <dcterms:modified xsi:type="dcterms:W3CDTF">2015-06-10T11:37:00Z</dcterms:modified>
</cp:coreProperties>
</file>